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UNIVERSITA DEGLI STUDI DI CATANZARO</w:t>
      </w:r>
    </w:p>
    <w:p>
      <w:pPr>
        <w:pStyle w:val="Normal"/>
        <w:jc w:val="center"/>
        <w:rPr>
          <w:sz w:val="32"/>
          <w:szCs w:val="32"/>
        </w:rPr>
      </w:pPr>
      <w:r>
        <w:rPr>
          <w:sz w:val="32"/>
          <w:szCs w:val="32"/>
        </w:rPr>
        <w:t>“</w:t>
      </w:r>
      <w:r>
        <w:rPr>
          <w:sz w:val="32"/>
          <w:szCs w:val="32"/>
        </w:rPr>
        <w:t>MAGNA GRAECIA”</w:t>
      </w:r>
    </w:p>
    <w:p>
      <w:pPr>
        <w:pStyle w:val="Normal"/>
        <w:jc w:val="center"/>
        <w:rPr>
          <w:sz w:val="32"/>
          <w:szCs w:val="32"/>
        </w:rPr>
      </w:pPr>
      <w:r>
        <w:rPr>
          <w:sz w:val="32"/>
          <w:szCs w:val="32"/>
        </w:rPr>
        <w:t>GIUNTA DEL DIPARTIMENTO DI MEDICINA SPERIMENTALE E CLINICA</w:t>
      </w:r>
    </w:p>
    <w:p>
      <w:pPr>
        <w:pStyle w:val="Normal"/>
        <w:jc w:val="center"/>
        <w:rPr>
          <w:sz w:val="32"/>
          <w:szCs w:val="32"/>
        </w:rPr>
      </w:pPr>
      <w:r>
        <w:rPr>
          <w:sz w:val="32"/>
          <w:szCs w:val="32"/>
        </w:rPr>
      </w:r>
    </w:p>
    <w:p>
      <w:pPr>
        <w:pStyle w:val="Normal"/>
        <w:jc w:val="both"/>
        <w:rPr>
          <w:sz w:val="26"/>
          <w:szCs w:val="26"/>
        </w:rPr>
      </w:pPr>
      <w:r>
        <w:rPr>
          <w:sz w:val="26"/>
          <w:szCs w:val="26"/>
        </w:rPr>
        <w:t>La Giunta del Dipartimento di Medicina Sperimentale e Clinica è convocata, per il giorno 5 febbraio 202</w:t>
      </w:r>
      <w:r>
        <w:rPr>
          <w:sz w:val="26"/>
          <w:szCs w:val="26"/>
        </w:rPr>
        <w:t>4</w:t>
      </w:r>
      <w:r>
        <w:rPr>
          <w:sz w:val="26"/>
          <w:szCs w:val="26"/>
        </w:rPr>
        <w:t>, alle ore 16:00, presso la sede della Direzione del Dipartimento sita al III livello Corpo G del Campus, per discutere il seguente:</w:t>
      </w:r>
    </w:p>
    <w:p>
      <w:pPr>
        <w:pStyle w:val="Normal"/>
        <w:jc w:val="both"/>
        <w:rPr>
          <w:sz w:val="24"/>
          <w:szCs w:val="24"/>
        </w:rPr>
      </w:pPr>
      <w:r>
        <w:rPr>
          <w:sz w:val="24"/>
          <w:szCs w:val="24"/>
        </w:rPr>
      </w:r>
    </w:p>
    <w:p>
      <w:pPr>
        <w:pStyle w:val="Normal"/>
        <w:jc w:val="center"/>
        <w:rPr>
          <w:b/>
          <w:b/>
          <w:sz w:val="28"/>
          <w:szCs w:val="28"/>
        </w:rPr>
      </w:pPr>
      <w:r>
        <w:rPr>
          <w:b/>
          <w:sz w:val="28"/>
          <w:szCs w:val="28"/>
        </w:rPr>
        <w:t>ORDINE DEL GIORNO</w:t>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Times New Roman" w:ascii="Times New Roman" w:hAnsi="Times New Roman"/>
          <w:b/>
          <w:bCs/>
          <w:color w:val="222222"/>
          <w:kern w:val="0"/>
          <w:sz w:val="26"/>
          <w:szCs w:val="26"/>
          <w:lang w:eastAsia="it-IT"/>
          <w14:ligatures w14:val="none"/>
        </w:rPr>
        <w:t>1</w:t>
      </w:r>
      <w:r>
        <w:rPr>
          <w:rFonts w:eastAsia="Times New Roman" w:cs="Times New Roman" w:ascii="Times New Roman" w:hAnsi="Times New Roman"/>
          <w:color w:val="222222"/>
          <w:kern w:val="0"/>
          <w:sz w:val="26"/>
          <w:szCs w:val="26"/>
          <w:lang w:eastAsia="it-IT"/>
          <w14:ligatures w14:val="none"/>
        </w:rPr>
        <w:t>. </w:t>
      </w:r>
      <w:r>
        <w:rPr>
          <w:rFonts w:eastAsia="Times New Roman" w:cs="Times New Roman" w:ascii="Times New Roman" w:hAnsi="Times New Roman"/>
          <w:b/>
          <w:bCs/>
          <w:color w:val="222222"/>
          <w:kern w:val="0"/>
          <w:sz w:val="26"/>
          <w:szCs w:val="26"/>
          <w:lang w:eastAsia="it-IT"/>
          <w14:ligatures w14:val="none"/>
        </w:rPr>
        <w:t>Istanza Dott. Caracciolo Daniele ai fini della chiamata come Prof.re Associato S.C. 06/D3 - S.S.D. MED/15;</w:t>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Arial" w:ascii="Arial" w:hAnsi="Arial"/>
          <w:color w:val="222222"/>
          <w:kern w:val="0"/>
          <w:sz w:val="24"/>
          <w:szCs w:val="24"/>
          <w:lang w:eastAsia="it-IT"/>
          <w14:ligatures w14:val="none"/>
        </w:rPr>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Times New Roman" w:ascii="Times New Roman" w:hAnsi="Times New Roman"/>
          <w:b/>
          <w:bCs/>
          <w:color w:val="222222"/>
          <w:kern w:val="0"/>
          <w:sz w:val="26"/>
          <w:szCs w:val="26"/>
          <w:lang w:eastAsia="it-IT"/>
          <w14:ligatures w14:val="none"/>
        </w:rPr>
        <w:t>2. Istanza Dott.ssa Marino Fabiola ai fini della chiamata come Prof.ssa Associata S.C. 05/H1 - S.S.D. BIO/16;</w:t>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Arial" w:ascii="Arial" w:hAnsi="Arial"/>
          <w:color w:val="222222"/>
          <w:kern w:val="0"/>
          <w:sz w:val="24"/>
          <w:szCs w:val="24"/>
          <w:lang w:eastAsia="it-IT"/>
          <w14:ligatures w14:val="none"/>
        </w:rPr>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Times New Roman" w:ascii="Times New Roman" w:hAnsi="Times New Roman"/>
          <w:b/>
          <w:bCs/>
          <w:color w:val="222222"/>
          <w:kern w:val="0"/>
          <w:sz w:val="26"/>
          <w:szCs w:val="26"/>
          <w:lang w:eastAsia="it-IT"/>
          <w14:ligatures w14:val="none"/>
        </w:rPr>
        <w:t>3. Integrazione componenti Gruppo AQ;</w:t>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Arial" w:ascii="Arial" w:hAnsi="Arial"/>
          <w:color w:val="222222"/>
          <w:kern w:val="0"/>
          <w:sz w:val="24"/>
          <w:szCs w:val="24"/>
          <w:lang w:eastAsia="it-IT"/>
          <w14:ligatures w14:val="none"/>
        </w:rPr>
      </w:r>
    </w:p>
    <w:p>
      <w:pPr>
        <w:pStyle w:val="Normal"/>
        <w:shd w:val="clear" w:color="auto" w:fill="FFFFFF"/>
        <w:spacing w:lineRule="auto" w:line="240" w:before="0" w:after="0"/>
        <w:rPr>
          <w:rFonts w:ascii="Times New Roman" w:hAnsi="Times New Roman" w:eastAsia="Times New Roman" w:cs="Times New Roman"/>
          <w:b/>
          <w:b/>
          <w:bCs/>
          <w:color w:val="222222"/>
          <w:kern w:val="0"/>
          <w:sz w:val="26"/>
          <w:szCs w:val="26"/>
          <w:lang w:eastAsia="it-IT"/>
          <w14:ligatures w14:val="none"/>
        </w:rPr>
      </w:pPr>
      <w:r>
        <w:rPr>
          <w:rFonts w:eastAsia="Times New Roman" w:cs="Times New Roman" w:ascii="Times New Roman" w:hAnsi="Times New Roman"/>
          <w:b/>
          <w:bCs/>
          <w:color w:val="222222"/>
          <w:kern w:val="0"/>
          <w:sz w:val="26"/>
          <w:szCs w:val="26"/>
          <w:lang w:eastAsia="it-IT"/>
          <w14:ligatures w14:val="none"/>
        </w:rPr>
        <w:t>4. Relazione Commissione Ricerca;</w:t>
      </w:r>
    </w:p>
    <w:p>
      <w:pPr>
        <w:pStyle w:val="Normal"/>
        <w:shd w:val="clear" w:color="auto" w:fill="FFFFFF"/>
        <w:spacing w:lineRule="auto" w:line="240" w:before="0" w:after="0"/>
        <w:rPr>
          <w:rFonts w:ascii="Times New Roman" w:hAnsi="Times New Roman" w:eastAsia="Times New Roman" w:cs="Times New Roman"/>
          <w:b/>
          <w:b/>
          <w:bCs/>
          <w:color w:val="222222"/>
          <w:kern w:val="0"/>
          <w:sz w:val="26"/>
          <w:szCs w:val="26"/>
          <w:lang w:eastAsia="it-IT"/>
          <w14:ligatures w14:val="none"/>
        </w:rPr>
      </w:pPr>
      <w:r>
        <w:rPr>
          <w:rFonts w:eastAsia="Times New Roman" w:cs="Times New Roman" w:ascii="Times New Roman" w:hAnsi="Times New Roman"/>
          <w:b/>
          <w:bCs/>
          <w:color w:val="222222"/>
          <w:kern w:val="0"/>
          <w:sz w:val="26"/>
          <w:szCs w:val="26"/>
          <w:lang w:eastAsia="it-IT"/>
          <w14:ligatures w14:val="none"/>
        </w:rPr>
      </w:r>
    </w:p>
    <w:p>
      <w:pPr>
        <w:pStyle w:val="Normal"/>
        <w:shd w:val="clear" w:color="auto" w:fill="FFFFFF"/>
        <w:spacing w:lineRule="auto" w:line="240" w:before="0" w:after="0"/>
        <w:rPr>
          <w:rFonts w:ascii="Arial" w:hAnsi="Arial" w:eastAsia="Times New Roman" w:cs="Arial"/>
          <w:color w:val="222222"/>
          <w:kern w:val="0"/>
          <w:sz w:val="24"/>
          <w:szCs w:val="24"/>
          <w:lang w:eastAsia="it-IT"/>
          <w14:ligatures w14:val="none"/>
        </w:rPr>
      </w:pPr>
      <w:r>
        <w:rPr>
          <w:rFonts w:eastAsia="Times New Roman" w:cs="Times New Roman" w:ascii="Times New Roman" w:hAnsi="Times New Roman"/>
          <w:b/>
          <w:bCs/>
          <w:color w:val="222222"/>
          <w:kern w:val="0"/>
          <w:sz w:val="26"/>
          <w:szCs w:val="26"/>
          <w:lang w:eastAsia="it-IT"/>
          <w14:ligatures w14:val="none"/>
        </w:rPr>
        <w:t>5. proposta Commissione Reclutamento “Criteri Reclutamento Docenti e Ricercatori”</w:t>
      </w:r>
    </w:p>
    <w:p>
      <w:pPr>
        <w:pStyle w:val="Normal"/>
        <w:jc w:val="both"/>
        <w:rPr>
          <w:b/>
          <w:b/>
          <w:sz w:val="28"/>
          <w:szCs w:val="28"/>
        </w:rPr>
      </w:pPr>
      <w:r>
        <w:rPr>
          <w:b/>
          <w:sz w:val="28"/>
          <w:szCs w:val="28"/>
        </w:rPr>
      </w:r>
    </w:p>
    <w:p>
      <w:pPr>
        <w:pStyle w:val="Normal"/>
        <w:jc w:val="both"/>
        <w:rPr>
          <w:sz w:val="28"/>
          <w:szCs w:val="28"/>
        </w:rPr>
      </w:pPr>
      <w:r>
        <w:rPr>
          <w:sz w:val="28"/>
          <w:szCs w:val="28"/>
        </w:rPr>
        <w:t>Segretario verbalizzante:Dott.ssa Jolanda Sabatino.Sono presenti i Proff. :Mastroroberto Pasquale,Montalcini Tiziana,Doldo Patrizia,Cosentino Carlo,Palmieri Camillo,Mesuraca Maria,Sabatino Jolanda. Assenti giustificati i Proff. : Cascini Giuseppe Lucio,Faniello Concetta Maria.</w:t>
      </w:r>
    </w:p>
    <w:p>
      <w:pPr>
        <w:pStyle w:val="Normal"/>
        <w:jc w:val="both"/>
        <w:rPr>
          <w:sz w:val="28"/>
          <w:szCs w:val="28"/>
        </w:rPr>
      </w:pPr>
      <w:r>
        <w:rPr>
          <w:sz w:val="28"/>
          <w:szCs w:val="28"/>
        </w:rPr>
        <w:t>La seduta si apre alle ore 16.10</w:t>
      </w:r>
    </w:p>
    <w:p>
      <w:pPr>
        <w:pStyle w:val="Normal"/>
        <w:rPr>
          <w:sz w:val="28"/>
          <w:szCs w:val="28"/>
        </w:rPr>
      </w:pPr>
      <w:r>
        <w:rPr>
          <w:sz w:val="28"/>
          <w:szCs w:val="28"/>
        </w:rPr>
      </w:r>
    </w:p>
    <w:p>
      <w:pPr>
        <w:pStyle w:val="ListParagraph"/>
        <w:numPr>
          <w:ilvl w:val="0"/>
          <w:numId w:val="1"/>
        </w:numPr>
        <w:rPr>
          <w:sz w:val="28"/>
          <w:szCs w:val="28"/>
        </w:rPr>
      </w:pPr>
      <w:r>
        <w:rPr>
          <w:sz w:val="28"/>
          <w:szCs w:val="28"/>
        </w:rPr>
        <w:t>Si discute l’ Istanza Dott.ssa Marino Fabiola ai fini della chiamata come Prof.ssa Associata S.C. 05/H1 - S.S.D. BIO/16 con lettera di supporto della prof.ssa Anna Di Vito. La Giunta Approva all’unanimità.</w:t>
      </w:r>
    </w:p>
    <w:p>
      <w:pPr>
        <w:pStyle w:val="ListParagraph"/>
        <w:numPr>
          <w:ilvl w:val="0"/>
          <w:numId w:val="1"/>
        </w:numPr>
        <w:rPr>
          <w:sz w:val="28"/>
          <w:szCs w:val="28"/>
        </w:rPr>
      </w:pPr>
      <w:r>
        <w:rPr>
          <w:sz w:val="28"/>
          <w:szCs w:val="28"/>
        </w:rPr>
        <w:t>Si discute l’ Istanza Dott. Caracciolo Daniele ai fini della chiamata come Prof.re Associato S.C. 06/D3 - S.S.D. MED/1 con lettera di supporto dei proff. Tassone e Tagliaferri. La Giunta Approva all’unanimità.</w:t>
      </w:r>
    </w:p>
    <w:p>
      <w:pPr>
        <w:pStyle w:val="ListParagraph"/>
        <w:numPr>
          <w:ilvl w:val="0"/>
          <w:numId w:val="1"/>
        </w:numPr>
        <w:rPr>
          <w:sz w:val="28"/>
          <w:szCs w:val="28"/>
        </w:rPr>
      </w:pPr>
      <w:r>
        <w:rPr>
          <w:sz w:val="28"/>
          <w:szCs w:val="28"/>
        </w:rPr>
        <w:t>Si discute la proposta di chiamata del vincitore concorso RTDB Salvatore Panza s.c. 06/N1 SSD MED/50. La Giunta Approva all’unanimità.</w:t>
      </w:r>
    </w:p>
    <w:p>
      <w:pPr>
        <w:pStyle w:val="ListParagraph"/>
        <w:numPr>
          <w:ilvl w:val="0"/>
          <w:numId w:val="1"/>
        </w:numPr>
        <w:rPr>
          <w:sz w:val="28"/>
          <w:szCs w:val="28"/>
        </w:rPr>
      </w:pPr>
      <w:r>
        <w:rPr>
          <w:sz w:val="28"/>
          <w:szCs w:val="28"/>
        </w:rPr>
        <w:t>Si discute l’ Integrazione di componenti Gruppo AQ con i seguenti docenti e ricercatori: prof Simeone Silvio, dott.ssa Santamaria Gianluca, dott.ssa Scalise Stefania, dott. Quinzi Federico. La Giunta Approva all’unanimità.</w:t>
      </w:r>
    </w:p>
    <w:p>
      <w:pPr>
        <w:pStyle w:val="ListParagraph"/>
        <w:numPr>
          <w:ilvl w:val="0"/>
          <w:numId w:val="1"/>
        </w:numPr>
        <w:rPr>
          <w:sz w:val="28"/>
          <w:szCs w:val="28"/>
        </w:rPr>
      </w:pPr>
      <w:r>
        <w:rPr>
          <w:sz w:val="28"/>
          <w:szCs w:val="28"/>
        </w:rPr>
        <w:t>Si discute la Relazione Commissione Ricerca . La Giunta Approva all’unanimità.</w:t>
      </w:r>
    </w:p>
    <w:p>
      <w:pPr>
        <w:pStyle w:val="ListParagraph"/>
        <w:numPr>
          <w:ilvl w:val="0"/>
          <w:numId w:val="1"/>
        </w:numPr>
        <w:rPr>
          <w:sz w:val="28"/>
          <w:szCs w:val="28"/>
        </w:rPr>
      </w:pPr>
      <w:r>
        <w:rPr>
          <w:sz w:val="28"/>
          <w:szCs w:val="28"/>
        </w:rPr>
        <w:t>Dopo ampia discussione, vengono approvati tutti i criteri proposti come stabiliti dalla commissione reclutamento e più precisamente:</w:t>
      </w:r>
    </w:p>
    <w:p>
      <w:pPr>
        <w:pStyle w:val="Normal"/>
        <w:spacing w:lineRule="auto" w:line="240"/>
        <w:jc w:val="center"/>
        <w:rPr>
          <w:b/>
          <w:b/>
          <w:sz w:val="24"/>
          <w:szCs w:val="24"/>
          <w:u w:val="single"/>
        </w:rPr>
      </w:pPr>
      <w:r>
        <w:rPr>
          <w:b/>
          <w:sz w:val="24"/>
          <w:szCs w:val="24"/>
          <w:u w:val="single"/>
        </w:rPr>
        <w:t>Commissione Programmazione,Proposte reclutamento e afferenze</w:t>
      </w:r>
    </w:p>
    <w:p>
      <w:pPr>
        <w:pStyle w:val="Normal"/>
        <w:spacing w:lineRule="auto" w:line="240"/>
        <w:rPr>
          <w:b/>
          <w:b/>
          <w:sz w:val="24"/>
          <w:szCs w:val="24"/>
          <w:u w:val="single"/>
        </w:rPr>
      </w:pPr>
      <w:r>
        <w:rPr>
          <w:b/>
          <w:sz w:val="24"/>
          <w:szCs w:val="24"/>
        </w:rPr>
        <w:t xml:space="preserve">                           </w:t>
      </w:r>
      <w:r>
        <w:rPr>
          <w:b/>
          <w:sz w:val="24"/>
          <w:szCs w:val="24"/>
          <w:u w:val="single"/>
        </w:rPr>
        <w:t>CRITERI GENERALI PER IL RECLUTAMENTO DOCENTI E RICERCATORI</w:t>
      </w:r>
    </w:p>
    <w:p>
      <w:pPr>
        <w:pStyle w:val="Normal"/>
        <w:spacing w:lineRule="auto" w:line="240"/>
        <w:rPr/>
      </w:pPr>
      <w:r>
        <w:rPr/>
      </w:r>
    </w:p>
    <w:p>
      <w:pPr>
        <w:pStyle w:val="Normal"/>
        <w:spacing w:lineRule="auto" w:line="240"/>
        <w:rPr/>
      </w:pPr>
      <w:r>
        <w:rPr/>
      </w:r>
    </w:p>
    <w:p>
      <w:pPr>
        <w:pStyle w:val="ListParagraph"/>
        <w:numPr>
          <w:ilvl w:val="0"/>
          <w:numId w:val="2"/>
        </w:numPr>
        <w:spacing w:lineRule="auto" w:line="360" w:before="0" w:after="200"/>
        <w:contextualSpacing/>
        <w:jc w:val="both"/>
        <w:rPr/>
      </w:pPr>
      <w:r>
        <w:rPr>
          <w:i/>
          <w:sz w:val="24"/>
          <w:szCs w:val="24"/>
          <w:u w:val="single"/>
        </w:rPr>
        <w:t>Fascia dei Ricercatori</w:t>
      </w:r>
      <w:r>
        <w:rPr/>
        <w:t xml:space="preserve">  a. Esigenze didattiche con valutazione rapporto CFU didattica frontale/docenti; b. attività ricerca (produzione scientifica rilevante del gruppo ricerca del S.S.D. di riferimento  in rapporto al numero docenti già presenti); c. esigenze assistenziali con particolare rilievo ad  attivazione/accreditamento Scuole Specializzazione</w:t>
      </w:r>
    </w:p>
    <w:p>
      <w:pPr>
        <w:pStyle w:val="ListParagraph"/>
        <w:numPr>
          <w:ilvl w:val="0"/>
          <w:numId w:val="2"/>
        </w:numPr>
        <w:spacing w:lineRule="auto" w:line="360" w:before="0" w:after="200"/>
        <w:contextualSpacing/>
        <w:jc w:val="both"/>
        <w:rPr/>
      </w:pPr>
      <w:r>
        <w:rPr>
          <w:i/>
          <w:sz w:val="24"/>
          <w:szCs w:val="24"/>
          <w:u w:val="single"/>
        </w:rPr>
        <w:t>Fascia PA</w:t>
      </w:r>
      <w:r>
        <w:rPr>
          <w:sz w:val="24"/>
          <w:szCs w:val="24"/>
          <w:u w:val="single"/>
        </w:rPr>
        <w:t xml:space="preserve"> </w:t>
      </w:r>
      <w:r>
        <w:rPr/>
        <w:t>I criteri “di massima” indicati per i Ricercatori possono essere applicati anche per la II fascia. Da sottolineare anche la necessità di una funzione di premialità e meritocrazia per gli attuali ricercatori con presenza di una attività curriculare che sia di supporto agli obiettivi del Dipartimento. Anche per la II fascia “massima attenzione per le Scuole di Specializzazione nei processi di accreditamento”</w:t>
      </w:r>
      <w:bookmarkStart w:id="0" w:name="_GoBack"/>
      <w:bookmarkEnd w:id="0"/>
    </w:p>
    <w:p>
      <w:pPr>
        <w:pStyle w:val="ListParagraph"/>
        <w:numPr>
          <w:ilvl w:val="0"/>
          <w:numId w:val="2"/>
        </w:numPr>
        <w:spacing w:lineRule="auto" w:line="360" w:before="0" w:after="200"/>
        <w:contextualSpacing/>
        <w:jc w:val="both"/>
        <w:rPr/>
      </w:pPr>
      <w:r>
        <w:rPr>
          <w:i/>
          <w:sz w:val="24"/>
          <w:szCs w:val="24"/>
          <w:u w:val="single"/>
        </w:rPr>
        <w:t>Fascia PO</w:t>
      </w:r>
      <w:r>
        <w:rPr>
          <w:sz w:val="24"/>
          <w:szCs w:val="24"/>
          <w:u w:val="single"/>
        </w:rPr>
        <w:t xml:space="preserve">  </w:t>
      </w:r>
      <w:r>
        <w:rPr/>
        <w:t>Nel rispetto della “formula per la chiamata” per il ruolo di I fascia (art. 18,comma 1), è da sottolineare comunque la necessità di non trascurare la politica generale e la programmazione di Ateneo per cui i criteri generali proposti sono i seguenti : a. Assenza di PO nel SC/SSD ovvero assenza di copertura da parte di docente/i in uno specifico SSD; b. presenza nel Dipartimento di docenti con ASN conseguita da più anni; c. necessità didattiche (CFU/docenti); d.   attività scientifica di rilievo; e. finanziamenti competitivi e/o brevetti; f. comprovata attività  gestionale; g. esigenze assistenziali anche correlate ad attivazione/accreditamento Scuole di Specializzazione</w:t>
      </w:r>
    </w:p>
    <w:p>
      <w:pPr>
        <w:pStyle w:val="Normal"/>
        <w:spacing w:lineRule="auto" w:line="240"/>
        <w:rPr/>
      </w:pPr>
      <w:r>
        <w:rPr/>
      </w:r>
    </w:p>
    <w:p>
      <w:pPr>
        <w:pStyle w:val="ListParagraph"/>
        <w:rPr>
          <w:sz w:val="28"/>
          <w:szCs w:val="28"/>
        </w:rPr>
      </w:pPr>
      <w:r>
        <w:rPr>
          <w:sz w:val="28"/>
          <w:szCs w:val="28"/>
        </w:rPr>
      </w:r>
    </w:p>
    <w:p>
      <w:pPr>
        <w:pStyle w:val="Normal"/>
        <w:rPr>
          <w:sz w:val="28"/>
          <w:szCs w:val="28"/>
        </w:rPr>
      </w:pPr>
      <w:r>
        <w:rPr>
          <w:sz w:val="28"/>
          <w:szCs w:val="28"/>
        </w:rPr>
      </w:r>
    </w:p>
    <w:p>
      <w:pPr>
        <w:pStyle w:val="Normal"/>
        <w:spacing w:before="0" w:after="160"/>
        <w:rPr>
          <w:sz w:val="28"/>
          <w:szCs w:val="28"/>
        </w:rPr>
      </w:pPr>
      <w:r>
        <w:rPr>
          <w:sz w:val="28"/>
          <w:szCs w:val="28"/>
        </w:rPr>
        <w:t>Alle ore 17, 45, si dichiara conclusa la riunione.</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8560e3"/>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523</Words>
  <Characters>3169</Characters>
  <CharactersWithSpaces>3693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2024-02-07T11:07:00Z</dcterms:created>
  <dc:creator>Jolanda Sabatino</dc:creator>
  <dc:description/>
  <dc:language>it-IT</dc:language>
  <cp:lastModifiedBy/>
  <dcterms:modified xsi:type="dcterms:W3CDTF">2024-02-09T12:54:17Z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GrammarlyDocumentId">
    <vt:lpwstr>2a2a2bdc-9b54-4cf5-9414-c5d842113c9c</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